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9A31" w14:textId="0F6C46FD" w:rsidR="00CC5C8A" w:rsidRPr="00CC5C8A" w:rsidRDefault="00112900" w:rsidP="00CC5C8A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C8A">
        <w:rPr>
          <w:rFonts w:ascii="Calibri" w:hAnsi="Calibri" w:cs="Calibri"/>
          <w:b/>
          <w:sz w:val="22"/>
          <w:szCs w:val="22"/>
        </w:rPr>
        <w:t>U</w:t>
      </w:r>
      <w:r w:rsidR="00A5741D" w:rsidRPr="00CC5C8A">
        <w:rPr>
          <w:rFonts w:ascii="Calibri" w:hAnsi="Calibri" w:cs="Calibri"/>
          <w:b/>
          <w:sz w:val="22"/>
          <w:szCs w:val="22"/>
        </w:rPr>
        <w:t xml:space="preserve">sługa polegająca na </w:t>
      </w:r>
      <w:r w:rsidR="00275290">
        <w:rPr>
          <w:rFonts w:ascii="Calibri" w:hAnsi="Calibri" w:cs="Calibri"/>
          <w:b/>
          <w:bCs/>
          <w:sz w:val="22"/>
          <w:szCs w:val="22"/>
        </w:rPr>
        <w:t xml:space="preserve">zaprojektowaniu, wykonaniu </w:t>
      </w:r>
      <w:bookmarkStart w:id="0" w:name="_GoBack"/>
      <w:bookmarkEnd w:id="0"/>
      <w:r w:rsidR="00CC5C8A" w:rsidRPr="00CC5C8A">
        <w:rPr>
          <w:rFonts w:ascii="Calibri" w:hAnsi="Calibri" w:cs="Calibri"/>
          <w:b/>
          <w:bCs/>
          <w:sz w:val="22"/>
          <w:szCs w:val="22"/>
        </w:rPr>
        <w:t xml:space="preserve">i wyklejeniu grafiki ściennej/fototapety </w:t>
      </w:r>
      <w:r w:rsidR="00CC5C8A" w:rsidRPr="00CC5C8A">
        <w:rPr>
          <w:rFonts w:ascii="Calibri" w:hAnsi="Calibri" w:cs="Calibri"/>
          <w:b/>
          <w:bCs/>
          <w:sz w:val="22"/>
          <w:szCs w:val="22"/>
        </w:rPr>
        <w:br/>
        <w:t>w punkcie kontaktowym w filii Dolnośląskiego Wojewód</w:t>
      </w:r>
      <w:r w:rsidR="00CC5C8A">
        <w:rPr>
          <w:rFonts w:ascii="Calibri" w:hAnsi="Calibri" w:cs="Calibri"/>
          <w:b/>
          <w:bCs/>
          <w:sz w:val="22"/>
          <w:szCs w:val="22"/>
        </w:rPr>
        <w:t>zkiego Urzędu Pracy we Wrocławiu.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17389DAF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CC5C8A">
        <w:rPr>
          <w:rFonts w:ascii="Calibri" w:hAnsi="Calibri" w:cs="Calibri"/>
          <w:b/>
          <w:color w:val="000000"/>
          <w:sz w:val="22"/>
          <w:szCs w:val="22"/>
        </w:rPr>
        <w:t>29</w:t>
      </w:r>
      <w:r w:rsidR="00B712F4">
        <w:rPr>
          <w:rFonts w:ascii="Calibri" w:hAnsi="Calibri" w:cs="Calibri"/>
          <w:b/>
          <w:color w:val="000000"/>
          <w:sz w:val="22"/>
          <w:szCs w:val="22"/>
        </w:rPr>
        <w:t>.03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77978BA4" w:rsidR="00A5741D" w:rsidRPr="00B712F4" w:rsidRDefault="00E22991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712F4">
        <w:rPr>
          <w:rFonts w:cstheme="minorHAnsi"/>
          <w:color w:val="000000"/>
        </w:rPr>
        <w:t xml:space="preserve">W ramach procedury rozeznania rynku zapraszamy do składania ofert na </w:t>
      </w:r>
      <w:r w:rsidR="00B712F4" w:rsidRPr="00B712F4">
        <w:rPr>
          <w:rFonts w:cs="Calibri"/>
        </w:rPr>
        <w:t xml:space="preserve">kompleksową usługę </w:t>
      </w:r>
      <w:r w:rsidR="00A5741D" w:rsidRPr="00B712F4">
        <w:rPr>
          <w:rFonts w:cs="Calibri"/>
        </w:rPr>
        <w:t xml:space="preserve"> </w:t>
      </w:r>
      <w:r w:rsidR="00B712F4" w:rsidRPr="00B712F4">
        <w:rPr>
          <w:rFonts w:ascii="Calibri" w:hAnsi="Calibri" w:cs="Calibri"/>
        </w:rPr>
        <w:t xml:space="preserve">polegająca na </w:t>
      </w:r>
      <w:r w:rsidR="00CC5C8A" w:rsidRPr="00CC5C8A">
        <w:rPr>
          <w:rFonts w:ascii="Calibri" w:hAnsi="Calibri" w:cs="Calibri"/>
          <w:bCs/>
        </w:rPr>
        <w:t xml:space="preserve">zaprojektowaniu, wykonaniu i wyklejeniu grafiki ściennej/fototapety </w:t>
      </w:r>
      <w:r w:rsidR="00CC5C8A" w:rsidRPr="00CC5C8A">
        <w:rPr>
          <w:rFonts w:ascii="Calibri" w:hAnsi="Calibri" w:cs="Calibri"/>
          <w:bCs/>
        </w:rPr>
        <w:br/>
        <w:t>w punkcie kontaktowym w filii Dolnośląskiego Wojewódzkiego Urzędu Pracy we Wrocławiu na potrzeby działań informacyjno-promocyjnych w ramach Krajowego Funduszu Szkoleniowego</w:t>
      </w:r>
      <w:r w:rsidR="000871C0">
        <w:rPr>
          <w:rFonts w:ascii="Calibri" w:hAnsi="Calibri" w:cs="Calibri"/>
          <w:bCs/>
        </w:rPr>
        <w:t>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4762E80D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E7428B">
        <w:rPr>
          <w:rFonts w:cstheme="minorHAnsi"/>
          <w:color w:val="000000"/>
        </w:rPr>
        <w:t xml:space="preserve">Oferty należy przesyłać w wersji elektronicznej (skan formularza </w:t>
      </w:r>
      <w:r w:rsidR="00BC4EA1">
        <w:rPr>
          <w:rFonts w:cstheme="minorHAnsi"/>
          <w:color w:val="000000"/>
        </w:rPr>
        <w:t>szacunkowo-</w:t>
      </w:r>
      <w:r w:rsidRPr="00E7428B">
        <w:rPr>
          <w:rFonts w:cstheme="minorHAnsi"/>
          <w:color w:val="000000"/>
        </w:rPr>
        <w:t>ofertowego z podpisem i pieczątką</w:t>
      </w:r>
      <w:r w:rsidRPr="00111C79">
        <w:rPr>
          <w:rFonts w:cstheme="minorHAnsi"/>
          <w:color w:val="000000"/>
        </w:rPr>
        <w:t>) na adres: </w:t>
      </w:r>
      <w:hyperlink r:id="rId8" w:history="1">
        <w:r w:rsidR="00CC5C8A" w:rsidRPr="004500FB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CC5C8A">
        <w:rPr>
          <w:rStyle w:val="Pogrubienie"/>
          <w:rFonts w:cstheme="minorHAnsi"/>
          <w:color w:val="000000"/>
        </w:rPr>
        <w:t>05</w:t>
      </w:r>
      <w:r w:rsidR="00B712F4">
        <w:rPr>
          <w:rStyle w:val="Pogrubienie"/>
          <w:rFonts w:cstheme="minorHAnsi"/>
          <w:color w:val="000000"/>
        </w:rPr>
        <w:t>.04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B712F4">
        <w:rPr>
          <w:rStyle w:val="Pogrubienie"/>
          <w:rFonts w:cstheme="minorHAnsi"/>
          <w:color w:val="000000"/>
        </w:rPr>
        <w:t>15</w:t>
      </w:r>
      <w:r w:rsidRPr="0058322A">
        <w:rPr>
          <w:rStyle w:val="Pogrubienie"/>
          <w:rFonts w:cstheme="minorHAnsi"/>
          <w:color w:val="000000"/>
        </w:rPr>
        <w:t>.00.</w:t>
      </w:r>
    </w:p>
    <w:p w14:paraId="102C3F7C" w14:textId="5DD79A0E" w:rsidR="0076324A" w:rsidRPr="0076324A" w:rsidRDefault="0076324A" w:rsidP="0076324A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alibri" w:hAnsi="Calibri" w:cs="Calibri"/>
        </w:rPr>
      </w:pPr>
      <w:r w:rsidRPr="0076324A">
        <w:rPr>
          <w:rFonts w:ascii="Calibri" w:hAnsi="Calibri" w:cs="Calibri"/>
          <w:bCs/>
        </w:rPr>
        <w:t>W przypadku zwolnienia zamówienia ze stosowania ustawy PZP na podstawie art.2 ust.1 punkt 1 oferty będą mogły stanowić podstawę do wyboru wykonawcy zamówienia</w:t>
      </w:r>
      <w:r w:rsidRPr="00944EB3">
        <w:rPr>
          <w:rFonts w:ascii="Calibri" w:hAnsi="Calibri" w:cs="Calibri"/>
          <w:b/>
          <w:bCs/>
        </w:rPr>
        <w:t>.</w:t>
      </w:r>
    </w:p>
    <w:p w14:paraId="7EF9040E" w14:textId="77777777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6C35DF38" w14:textId="706F2E92" w:rsidR="0076324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B712F4">
        <w:rPr>
          <w:rFonts w:asciiTheme="minorHAnsi" w:hAnsiTheme="minorHAnsi" w:cstheme="minorHAnsi"/>
          <w:color w:val="000000"/>
          <w:sz w:val="22"/>
          <w:szCs w:val="22"/>
        </w:rPr>
        <w:t>finansowana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1FD1AFBE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4D5A36A" w14:textId="7FADF69B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CC5C8A">
        <w:rPr>
          <w:rFonts w:ascii="Verdana" w:hAnsi="Verdana"/>
          <w:color w:val="000000"/>
          <w:sz w:val="20"/>
          <w:szCs w:val="20"/>
        </w:rPr>
        <w:t>Magdalena Wolfram</w:t>
      </w:r>
      <w:r w:rsidR="006D26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71 39 74 111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B712F4" w:rsidRPr="00860873">
          <w:rPr>
            <w:rStyle w:val="Hipercze"/>
            <w:rFonts w:ascii="Verdana" w:hAnsi="Verdana"/>
            <w:sz w:val="20"/>
            <w:szCs w:val="20"/>
          </w:rPr>
          <w:t>renata.wojdag@dwup.pl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6324A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CC5C8A"/>
    <w:rsid w:val="00CE2890"/>
    <w:rsid w:val="00E22991"/>
    <w:rsid w:val="00E738E3"/>
    <w:rsid w:val="00E7428B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wojdag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E5E1-B047-4518-9720-52687D94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29</cp:revision>
  <dcterms:created xsi:type="dcterms:W3CDTF">2020-11-23T13:12:00Z</dcterms:created>
  <dcterms:modified xsi:type="dcterms:W3CDTF">2022-03-28T10:18:00Z</dcterms:modified>
</cp:coreProperties>
</file>